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 w:hAnsi="Times New Roman" w:cs="Times New Roman"/>
        </w:rPr>
      </w:pPr>
      <w:bookmarkStart w:id="0" w:name="_Toc21555"/>
      <w:bookmarkStart w:id="1" w:name="_Toc9540"/>
      <w:r>
        <w:rPr>
          <w:rFonts w:ascii="Times New Roman" w:hAnsi="Times New Roman" w:cs="Times New Roman"/>
        </w:rPr>
        <w:t>函调信开具要求</w:t>
      </w:r>
      <w:bookmarkEnd w:id="0"/>
      <w:bookmarkEnd w:id="1"/>
    </w:p>
    <w:p>
      <w:pPr>
        <w:widowControl/>
        <w:spacing w:line="300" w:lineRule="auto"/>
        <w:ind w:firstLine="495"/>
        <w:rPr>
          <w:rFonts w:ascii="Times New Roman" w:hAnsi="Times New Roman" w:eastAsia="华文中宋" w:cs="Times New Roman"/>
          <w:kern w:val="0"/>
          <w:sz w:val="24"/>
          <w:szCs w:val="24"/>
        </w:rPr>
      </w:pPr>
    </w:p>
    <w:p>
      <w:pPr>
        <w:widowControl/>
        <w:spacing w:line="360" w:lineRule="auto"/>
        <w:ind w:firstLine="495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党支书或组织委员收集发展对象户口本直系亲属（父母，同胞兄弟姐妹、配偶，子女）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及《入党积极分子培养考察登记表》中填入“主要社会关系”的人员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的函调信息（内容包括姓名，所在单位/学校/（村）居委会党组织名称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注意党组织名称应为“中共xxx委员会/党总支”，注意一定要和党组织确认党章上的字与函调信息一致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），统一到学部党委开具政审函调，交由个人邮寄给父母。父母开具政审材料后寄回个人，由个人领取（不得开封）并交回党支书或组织委员。党支书或组织委员负责拆封查阅，无特殊情况后将函调信放入发展对象的党员发展材料袋中。</w:t>
      </w:r>
    </w:p>
    <w:p>
      <w:pPr>
        <w:widowControl/>
        <w:spacing w:line="360" w:lineRule="auto"/>
        <w:ind w:firstLine="495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注：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1）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父母所在单位无党组织或无工作单位的，直系亲属中有中小学生的，可由所在村委/街道党组织开具政审材料。如果几位亲属开具政审材料的单位一致，只需开一个函调信。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>2）请党支书或组织委员拆封查阅时注意函调信上盖章是否为党章，不可用行政公章代替。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C6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2025-04-18T09:04:47Z</dcterms:created>
  <dc:creator>Administrator</dc:creator>
  <cp:lastModifiedBy>过往。</cp:lastModifiedBy>
  <dcterms:modified xsi:type="dcterms:W3CDTF">2025-04-18T09:05:08Z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B8DAA8A5A0644E3DA9FB6E859F3A9683</vt:lpwstr>
  </property>
</Properties>
</file>